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РЭК ТО, ХМАО - Югры, ЯНАО от 28.02.2025 N 6</w:t>
              <w:br/>
              <w:t xml:space="preserve">"О внесении изменений в распоряжение от 28.11.2024 N 27"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РЕГИОНАЛЬНАЯ ЭНЕРГЕТИЧЕСКАЯ КОМИССИЯ ТЮМЕНСКОЙ ОБЛАСТИ,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ЮГРЫ,</w:t>
      </w:r>
    </w:p>
    <w:p>
      <w:pPr>
        <w:pStyle w:val="2"/>
        <w:jc w:val="center"/>
      </w:pPr>
      <w:r>
        <w:rPr>
          <w:sz w:val="20"/>
        </w:rPr>
        <w:t xml:space="preserve">ЯМАЛО-НЕНЕЦКОГО АВТОНОМНОГО ОКРУГА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28 февраля 2025 г. N 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РАСПОРЯЖЕНИЕ ОТ 28.11.2024 N 27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0.02.2025 N 183 &quot;О внесении изменений в постановление Правительства Российской Федерации от 29 декабря 2011 г. N 117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 февраля 2025 г. N 183 "О внесении изменений в постановление Правительства Российской Федерации от 29 декабря 2011 г. N 1178":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</w:t>
      </w:r>
      <w:hyperlink w:history="0" r:id="rId8" w:tooltip="Распоряжение РЭК ТО, ХМАО - Югры, ЯНАО от 28.11.2024 N 27 &quot;Об установлении цен (тарифов) на электрическую энергию для населения и приравненных к нему категорий потребителей по Тюменской области, Ханты-Мансийскому автономному округу - Югре и Ямало-Ненецкому автономному округу на 2025 год&quot; ------------ Недействующая редакция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распоряжению от 28.11.2024 N 27 "Об установлении цен (тарифов) на электрическую энергию для населения и приравненных к нему категорий потребителей по Тюменской области, Ханты-Мансийскому автономному округу - Югре и Ямало-Ненецкому автономному округу на 2025 год" внести следующие изменения:</w:t>
      </w:r>
    </w:p>
    <w:p>
      <w:pPr>
        <w:pStyle w:val="0"/>
        <w:spacing w:before="200" w:line-rule="auto"/>
        <w:ind w:firstLine="540"/>
        <w:jc w:val="both"/>
      </w:pPr>
      <w:hyperlink w:history="0" r:id="rId9" w:tooltip="Распоряжение РЭК ТО, ХМАО - Югры, ЯНАО от 28.11.2024 N 27 &quot;Об установлении цен (тарифов) на электрическую энергию для населения и приравненных к нему категорий потребителей по Тюменской области, Ханты-Мансийскому автономному округу - Югре и Ямало-Ненецкому автономному округу на 2025 год&quot; ------------ Недействующая редакция {КонсультантПлюс}">
        <w:r>
          <w:rPr>
            <w:sz w:val="20"/>
            <w:color w:val="0000ff"/>
          </w:rPr>
          <w:t xml:space="preserve">Таблицы 1</w:t>
        </w:r>
      </w:hyperlink>
      <w:r>
        <w:rPr>
          <w:sz w:val="20"/>
        </w:rPr>
        <w:t xml:space="preserve">, </w:t>
      </w:r>
      <w:hyperlink w:history="0" r:id="rId10" w:tooltip="Распоряжение РЭК ТО, ХМАО - Югры, ЯНАО от 28.11.2024 N 27 &quot;Об установлении цен (тарифов) на электрическую энергию для населения и приравненных к нему категорий потребителей по Тюменской области, Ханты-Мансийскому автономному округу - Югре и Ямало-Ненецкому автономному округу на 2025 год&quot; ------------ Недействующая редакция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изложить в новой редакции согласно </w:t>
      </w:r>
      <w:hyperlink w:history="0" w:anchor="P23" w:tooltip="Приложение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Диапазоны объемов потребления электрической энергии, установленные в </w:t>
      </w:r>
      <w:hyperlink w:history="0" r:id="rId11" w:tooltip="Распоряжение РЭК ТО, ХМАО - Югры, ЯНАО от 28.11.2024 N 27 (ред. от 28.02.2025) &quot;Об установлении цен (тарифов) на электрическую энергию для населения и приравненных к нему категорий потребителей по Тюменской области, Ханты-Мансийскому автономному округу - Югре и Ямало-Ненецкому автономному округу на 2025 год&quot; {КонсультантПлюс}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, вводятся в действие с 1 января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председателя</w:t>
      </w:r>
    </w:p>
    <w:p>
      <w:pPr>
        <w:pStyle w:val="0"/>
        <w:jc w:val="right"/>
      </w:pPr>
      <w:r>
        <w:rPr>
          <w:sz w:val="20"/>
        </w:rPr>
        <w:t xml:space="preserve">А.В.ЯКОВЛЕВ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3" w:name="P23"/>
    <w:bookmarkEnd w:id="23"/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от 28.02.2025 N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Цены (тарифы) на электрическую энергию для населения</w:t>
      </w:r>
    </w:p>
    <w:p>
      <w:pPr>
        <w:pStyle w:val="2"/>
        <w:jc w:val="center"/>
      </w:pPr>
      <w:r>
        <w:rPr>
          <w:sz w:val="20"/>
        </w:rPr>
        <w:t xml:space="preserve">и приравненных к нему категорий потребителей по Тюменской</w:t>
      </w:r>
    </w:p>
    <w:p>
      <w:pPr>
        <w:pStyle w:val="2"/>
        <w:jc w:val="center"/>
      </w:pPr>
      <w:r>
        <w:rPr>
          <w:sz w:val="20"/>
        </w:rPr>
        <w:t xml:space="preserve">области, Ханты-Мансийскому автономному округу - Югре</w:t>
      </w:r>
    </w:p>
    <w:p>
      <w:pPr>
        <w:pStyle w:val="2"/>
        <w:jc w:val="center"/>
      </w:pPr>
      <w:r>
        <w:rPr>
          <w:sz w:val="20"/>
        </w:rPr>
        <w:t xml:space="preserve">и Ямало-Ненецкому автономному округу на 2025 г.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9"/>
        <w:gridCol w:w="3402"/>
        <w:gridCol w:w="1134"/>
        <w:gridCol w:w="1134"/>
        <w:gridCol w:w="1161"/>
        <w:gridCol w:w="1143"/>
        <w:gridCol w:w="1143"/>
        <w:gridCol w:w="1219"/>
      </w:tblGrid>
      <w:tr>
        <w:tc>
          <w:tcPr>
            <w:tcW w:w="70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Категории потребителей с разбивкой по ставкам и дифференциацией по зонам суток</w:t>
            </w:r>
          </w:p>
        </w:tc>
        <w:tc>
          <w:tcPr>
            <w:gridSpan w:val="6"/>
            <w:tcW w:w="69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(тариф), руб./кВт·ч (с учетом налога на добавленную стоимость)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3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полугодие</w:t>
            </w:r>
          </w:p>
        </w:tc>
        <w:tc>
          <w:tcPr>
            <w:gridSpan w:val="3"/>
            <w:tcW w:w="35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полугодие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первого диапазона объемов потребления электрической энергии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второго диапазона объемов потребления электрической энергии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третьего диапазона объемов потребления электрической энергии</w:t>
            </w:r>
          </w:p>
        </w:tc>
        <w:tc>
          <w:tcPr>
            <w:tcW w:w="114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первого диапазона объемов потребления электрической энергии</w:t>
            </w:r>
          </w:p>
        </w:tc>
        <w:tc>
          <w:tcPr>
            <w:tcW w:w="114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второго диапазона объемов потребления электрической энергии</w:t>
            </w: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третьего диапазона объемов потребления электрической энергии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history="0" w:anchor="P105" w:tooltip="2.">
              <w:r>
                <w:rPr>
                  <w:sz w:val="20"/>
                  <w:color w:val="0000ff"/>
                </w:rPr>
                <w:t xml:space="preserve">строках 2</w:t>
              </w:r>
            </w:hyperlink>
            <w:r>
              <w:rPr>
                <w:sz w:val="20"/>
              </w:rPr>
              <w:t xml:space="preserve"> - </w:t>
            </w:r>
            <w:hyperlink w:history="0" w:anchor="P417" w:tooltip="8.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3,85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bookmarkStart w:id="105" w:name="P105"/>
          <w:bookmarkEnd w:id="105"/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bookmarkStart w:id="261" w:name="P261"/>
          <w:bookmarkEnd w:id="261"/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bookmarkStart w:id="365" w:name="P365"/>
          <w:bookmarkEnd w:id="365"/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приравненным к населению категориям потребителей, указанным в настоящей строке.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bookmarkStart w:id="417" w:name="P417"/>
          <w:bookmarkEnd w:id="417"/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history="0" w:anchor="P261" w:tooltip="5.">
              <w:r>
                <w:rPr>
                  <w:sz w:val="20"/>
                  <w:color w:val="0000ff"/>
                </w:rPr>
                <w:t xml:space="preserve">строках 5</w:t>
              </w:r>
            </w:hyperlink>
            <w:r>
              <w:rPr>
                <w:sz w:val="20"/>
              </w:rPr>
              <w:t xml:space="preserve"> - </w:t>
            </w:r>
            <w:hyperlink w:history="0" w:anchor="P365" w:tooltip="7.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1,77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Потребители, приравненные к населению: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3,85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Садоводческие некоммерческие товарищества и огороднические некоммерческие товарищества.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3,85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9.3.1.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9.3.2.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3,85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9.3.3.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9.4.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9.4.1.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9.4.2.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3,85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9.4.3.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9.5.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Содержащиеся за счет прихожан религиозные организации.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9.5.1.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9.5.2.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3,85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9.5.3.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9.6.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9.6.1.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9.6.2.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двум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Дневная зона (пиковая и полупиковая)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3,85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5,91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9,94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  <w:tr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9.6.3.</w:t>
            </w:r>
          </w:p>
        </w:tc>
        <w:tc>
          <w:tcPr>
            <w:gridSpan w:val="7"/>
            <w:tcW w:w="10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Одноставочный тариф, дифференцированный по трем зонам суток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9,80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Полупиковая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5,97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9,51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4,22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10,30</w:t>
            </w:r>
          </w:p>
        </w:tc>
      </w:tr>
      <w:tr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Ночная зона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1,88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3,19</w:t>
            </w:r>
          </w:p>
        </w:tc>
        <w:tc>
          <w:tcPr>
            <w:tcW w:w="1161" w:type="dxa"/>
          </w:tcPr>
          <w:p>
            <w:pPr>
              <w:pStyle w:val="0"/>
            </w:pPr>
            <w:r>
              <w:rPr>
                <w:sz w:val="20"/>
              </w:rPr>
              <w:t xml:space="preserve">5,08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2,53</w:t>
            </w:r>
          </w:p>
        </w:tc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4,68</w:t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0"/>
              </w:rPr>
              <w:t xml:space="preserve">6,18</w:t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Диапазоны объемов потребления электрической энергии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1"/>
        <w:gridCol w:w="4039"/>
        <w:gridCol w:w="2065"/>
        <w:gridCol w:w="2126"/>
        <w:gridCol w:w="1985"/>
      </w:tblGrid>
      <w:tr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0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Категории потребителей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Первый диапазон объемов потребления электрической энергии, кВт·ч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Второй диапазон объемов потребления электрической энергии, кВт·ч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Третий диапазон объемов потребления электрической энергии, кВт·ч</w:t>
            </w:r>
          </w:p>
        </w:tc>
      </w:tr>
      <w:tr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4"/>
            <w:tcW w:w="102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history="0" w:anchor="P812" w:tooltip="2.">
              <w:r>
                <w:rPr>
                  <w:sz w:val="20"/>
                  <w:color w:val="0000ff"/>
                </w:rPr>
                <w:t xml:space="preserve">строках 2</w:t>
              </w:r>
            </w:hyperlink>
            <w:r>
              <w:rPr>
                <w:sz w:val="20"/>
              </w:rPr>
              <w:t xml:space="preserve"> - </w:t>
            </w:r>
            <w:hyperlink w:history="0" w:anchor="P978" w:tooltip="8.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w:history="0" r:id="rId14" w:tooltip="Указ Президента РФ от 23.01.2024 N 63 &quot;О мерах социальной поддержки многодетных семей&quot; {КонсультантПлюс}">
              <w:r>
                <w:rPr>
                  <w:sz w:val="20"/>
                  <w:color w:val="0000ff"/>
                </w:rPr>
                <w:t xml:space="preserve">подпунктом "б" пункта 6</w:t>
              </w:r>
            </w:hyperlink>
            <w:r>
              <w:rPr>
                <w:sz w:val="20"/>
              </w:rP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не газифицированных и оборудованных электроотопительными установками жилых и (или) садовых домах, для расчетных периодов (месяцев), относящихся к отопительному периоду (с сентября по июль)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7020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7020 до 10800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10800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не газифицированных и оборудованных электроотопительными установками жилых и (или) садовых домах для расчетных периодов (месяцев), не относящихся к отопительному периоду (август)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иных случаях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bookmarkStart w:id="812" w:name="P812"/>
          <w:bookmarkEnd w:id="812"/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4"/>
            <w:tcW w:w="1021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w:history="0" r:id="rId15" w:tooltip="Указ Президента РФ от 23.01.2024 N 63 &quot;О мерах социальной поддержки многодетных семей&quot; {КонсультантПлюс}">
              <w:r>
                <w:rPr>
                  <w:sz w:val="20"/>
                  <w:color w:val="0000ff"/>
                </w:rPr>
                <w:t xml:space="preserve">подпунктом "б" пункта 6</w:t>
              </w:r>
            </w:hyperlink>
            <w:r>
              <w:rPr>
                <w:sz w:val="20"/>
              </w:rP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июль)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7020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7020 до 10800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10800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(август)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4"/>
            <w:tcW w:w="1021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w:history="0" r:id="rId16" w:tooltip="Указ Президента РФ от 23.01.2024 N 63 &quot;О мерах социальной поддержки многодетных семей&quot; {КонсультантПлюс}">
              <w:r>
                <w:rPr>
                  <w:sz w:val="20"/>
                  <w:color w:val="0000ff"/>
                </w:rPr>
                <w:t xml:space="preserve">подпунктом "б" пункта 6</w:t>
              </w:r>
            </w:hyperlink>
            <w:r>
              <w:rPr>
                <w:sz w:val="20"/>
              </w:rP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4"/>
            <w:tcW w:w="1021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w:history="0" r:id="rId17" w:tooltip="Указ Президента РФ от 23.01.2024 N 63 &quot;О мерах социальной поддержки многодетных семей&quot; {КонсультантПлюс}">
              <w:r>
                <w:rPr>
                  <w:sz w:val="20"/>
                  <w:color w:val="0000ff"/>
                </w:rPr>
                <w:t xml:space="preserve">подпунктом "б" пункта 6</w:t>
              </w:r>
            </w:hyperlink>
            <w:r>
              <w:rPr>
                <w:sz w:val="20"/>
              </w:rP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июль)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7020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7020 до 10800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10800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(август)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bookmarkStart w:id="895" w:name="P895"/>
          <w:bookmarkEnd w:id="895"/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4"/>
            <w:tcW w:w="102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потребителями включающими домохозяйства, состоящие из семей, предусмотренных </w:t>
            </w:r>
            <w:hyperlink w:history="0" r:id="rId18" w:tooltip="Указ Президента РФ от 23.01.2024 N 63 &quot;О мерах социальной поддержки многодетных семей&quot; {КонсультантПлюс}">
              <w:r>
                <w:rPr>
                  <w:sz w:val="20"/>
                  <w:color w:val="0000ff"/>
                </w:rPr>
                <w:t xml:space="preserve">подпунктом "б" пункта 6</w:t>
              </w:r>
            </w:hyperlink>
            <w:r>
              <w:rPr>
                <w:sz w:val="20"/>
              </w:rP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июль)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7020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7020 до 10800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10800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(август)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4"/>
            <w:tcW w:w="1021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w:history="0" r:id="rId19" w:tooltip="Указ Президента РФ от 23.01.2024 N 63 &quot;О мерах социальной поддержки многодетных семей&quot; {КонсультантПлюс}">
              <w:r>
                <w:rPr>
                  <w:sz w:val="20"/>
                  <w:color w:val="0000ff"/>
                </w:rPr>
                <w:t xml:space="preserve">подпунктом "б" пункта 6</w:t>
              </w:r>
            </w:hyperlink>
            <w:r>
              <w:rPr>
                <w:sz w:val="20"/>
              </w:rP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bookmarkStart w:id="947" w:name="P947"/>
          <w:bookmarkEnd w:id="947"/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4"/>
            <w:tcW w:w="102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w:history="0" r:id="rId20" w:tooltip="Указ Президента РФ от 23.01.2024 N 63 &quot;О мерах социальной поддержки многодетных семей&quot; {КонсультантПлюс}">
              <w:r>
                <w:rPr>
                  <w:sz w:val="20"/>
                  <w:color w:val="0000ff"/>
                </w:rPr>
                <w:t xml:space="preserve">подпунктом "б" пункта 6</w:t>
              </w:r>
            </w:hyperlink>
            <w:r>
              <w:rPr>
                <w:sz w:val="20"/>
              </w:rP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июль)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7020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7020 до 10800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10800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(август)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bookmarkStart w:id="978" w:name="P978"/>
          <w:bookmarkEnd w:id="978"/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gridSpan w:val="4"/>
            <w:tcW w:w="1021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history="0" w:anchor="P895" w:tooltip="5.">
              <w:r>
                <w:rPr>
                  <w:sz w:val="20"/>
                  <w:color w:val="0000ff"/>
                </w:rPr>
                <w:t xml:space="preserve">строках 5</w:t>
              </w:r>
            </w:hyperlink>
            <w:r>
              <w:rPr>
                <w:sz w:val="20"/>
              </w:rPr>
              <w:t xml:space="preserve"> - </w:t>
            </w:r>
            <w:hyperlink w:history="0" w:anchor="P947" w:tooltip="7.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w:history="0" r:id="rId21" w:tooltip="Указ Президента РФ от 23.01.2024 N 63 &quot;О мерах социальной поддержки многодетных семей&quot; {КонсультантПлюс}">
              <w:r>
                <w:rPr>
                  <w:sz w:val="20"/>
                  <w:color w:val="0000ff"/>
                </w:rPr>
                <w:t xml:space="preserve">подпунктом "б" пункта 6</w:t>
              </w:r>
            </w:hyperlink>
            <w:r>
              <w:rPr>
                <w:sz w:val="20"/>
              </w:rP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ограничения пороговым значением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жилых домах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gridSpan w:val="4"/>
            <w:tcW w:w="102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Потребители, приравненные к населению:</w:t>
            </w:r>
          </w:p>
        </w:tc>
      </w:tr>
      <w:tr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9.1.</w:t>
            </w:r>
          </w:p>
        </w:tc>
        <w:tc>
          <w:tcPr>
            <w:gridSpan w:val="4"/>
            <w:tcW w:w="1021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одно помещение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9.2.</w:t>
            </w:r>
          </w:p>
        </w:tc>
        <w:tc>
          <w:tcPr>
            <w:gridSpan w:val="4"/>
            <w:tcW w:w="1021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Садоводческие некоммерческие товарищества и огороднические некоммерческие товарищества.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один садовый земельный участок или огородный земельный участок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не газифицированных и оборудованных электроотопительными установками садовых домах, для расчетных периодов (месяцев), относящихся к отопительному периоду (с сентября по июль)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7020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7020 до 10800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10800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объемов потребления электрической энергии в не газифицированных и оборудованных электроотопительными установками садовых домах, для расчетных периодов (месяцев), не относящихся к отопительному периоду (август) </w:t>
            </w:r>
            <w:hyperlink w:history="0" w:anchor="P1051" w:tooltip="&lt;*&gt; Расчетные периоды (месяцы) отопительного периода соотносятся с месяцами отопительного периода, установленного уполномоченным орган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9.3.</w:t>
            </w:r>
          </w:p>
        </w:tc>
        <w:tc>
          <w:tcPr>
            <w:gridSpan w:val="4"/>
            <w:tcW w:w="1021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одно помещение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9.4.</w:t>
            </w:r>
          </w:p>
        </w:tc>
        <w:tc>
          <w:tcPr>
            <w:gridSpan w:val="4"/>
            <w:tcW w:w="102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один общий прибор учета электрической энергии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9.5.</w:t>
            </w:r>
          </w:p>
        </w:tc>
        <w:tc>
          <w:tcPr>
            <w:gridSpan w:val="4"/>
            <w:tcW w:w="1021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Содержащиеся за счет прихожан религиозные организации.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одно помещение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  <w:tr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9.6.</w:t>
            </w:r>
          </w:p>
        </w:tc>
        <w:tc>
          <w:tcPr>
            <w:gridSpan w:val="4"/>
            <w:tcW w:w="1021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>
        <w:tc>
          <w:tcPr>
            <w:vMerge w:val="continue"/>
          </w:tcPr>
          <w:p/>
        </w:tc>
        <w:tc>
          <w:tcPr>
            <w:tcW w:w="40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один гараж, хозяйственную постройку (сарай, погреб)</w:t>
            </w:r>
          </w:p>
        </w:tc>
        <w:tc>
          <w:tcPr>
            <w:tcW w:w="2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3900 включительно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3900 до 6000 включительно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6000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51" w:name="P1051"/>
    <w:bookmarkEnd w:id="10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Расчетные периоды (месяцы) отопительного периода соотносятся с месяцами отопительного периода, установленного уполномоченным органом.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2"/>
      <w:headerReference w:type="first" r:id="rId12"/>
      <w:footerReference w:type="default" r:id="rId13"/>
      <w:footerReference w:type="first" r:id="rId1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РЭК ТО, ХМАО - Югры, ЯНАО от 28.02.2025 N 6</w:t>
            <w:br/>
            <w:t>"О внесении изменений в распоряжение от 28.11.2024 N 27"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РЭК ТО, ХМАО - Югры, ЯНАО от 28.02.2025 N 6</w:t>
            <w:br/>
            <w:t>"О внесении изменений в распоряжение от 28.11.2024 N 27"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9158" TargetMode = "External"/>
	<Relationship Id="rId8" Type="http://schemas.openxmlformats.org/officeDocument/2006/relationships/hyperlink" Target="https://login.consultant.ru/link/?req=doc&amp;base=RLAW026&amp;n=221878&amp;dst=100007" TargetMode = "External"/>
	<Relationship Id="rId9" Type="http://schemas.openxmlformats.org/officeDocument/2006/relationships/hyperlink" Target="https://login.consultant.ru/link/?req=doc&amp;base=RLAW026&amp;n=221878&amp;dst=100009" TargetMode = "External"/>
	<Relationship Id="rId10" Type="http://schemas.openxmlformats.org/officeDocument/2006/relationships/hyperlink" Target="https://login.consultant.ru/link/?req=doc&amp;base=RLAW026&amp;n=221878&amp;dst=100718" TargetMode = "External"/>
	<Relationship Id="rId11" Type="http://schemas.openxmlformats.org/officeDocument/2006/relationships/hyperlink" Target="https://login.consultant.ru/link/?req=doc&amp;base=RLAW026&amp;n=226083&amp;dst=100718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https://login.consultant.ru/link/?req=doc&amp;base=LAW&amp;n=467710&amp;dst=100037" TargetMode = "External"/>
	<Relationship Id="rId15" Type="http://schemas.openxmlformats.org/officeDocument/2006/relationships/hyperlink" Target="https://login.consultant.ru/link/?req=doc&amp;base=LAW&amp;n=467710&amp;dst=100037" TargetMode = "External"/>
	<Relationship Id="rId16" Type="http://schemas.openxmlformats.org/officeDocument/2006/relationships/hyperlink" Target="https://login.consultant.ru/link/?req=doc&amp;base=LAW&amp;n=467710&amp;dst=100037" TargetMode = "External"/>
	<Relationship Id="rId17" Type="http://schemas.openxmlformats.org/officeDocument/2006/relationships/hyperlink" Target="https://login.consultant.ru/link/?req=doc&amp;base=LAW&amp;n=467710&amp;dst=100037" TargetMode = "External"/>
	<Relationship Id="rId18" Type="http://schemas.openxmlformats.org/officeDocument/2006/relationships/hyperlink" Target="https://login.consultant.ru/link/?req=doc&amp;base=LAW&amp;n=467710&amp;dst=100037" TargetMode = "External"/>
	<Relationship Id="rId19" Type="http://schemas.openxmlformats.org/officeDocument/2006/relationships/hyperlink" Target="https://login.consultant.ru/link/?req=doc&amp;base=LAW&amp;n=467710&amp;dst=100037" TargetMode = "External"/>
	<Relationship Id="rId20" Type="http://schemas.openxmlformats.org/officeDocument/2006/relationships/hyperlink" Target="https://login.consultant.ru/link/?req=doc&amp;base=LAW&amp;n=467710&amp;dst=100037" TargetMode = "External"/>
	<Relationship Id="rId21" Type="http://schemas.openxmlformats.org/officeDocument/2006/relationships/hyperlink" Target="https://login.consultant.ru/link/?req=doc&amp;base=LAW&amp;n=467710&amp;dst=1000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РЭК ТО, ХМАО - Югры, ЯНАО от 28.02.2025 N 6
"О внесении изменений в распоряжение от 28.11.2024 N 27"</dc:title>
  <dcterms:created xsi:type="dcterms:W3CDTF">2025-03-06T07:25:18Z</dcterms:created>
</cp:coreProperties>
</file>